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四川省社会信用信息平台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数据资源归集共享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（公开征求意见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第一条【制定依据】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为规范四川省社会信用信息平台（以下简称“省信用平台”）数据资源管理，提升共享应用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根据《中华人民共和国数据安全法》《中华人民共和国个人信息保护法》《四川省社会信用条例》《四川省数据条例》等法律法规和《四川省政务信息资源共享管理实施细则（暂行）》等文件要求，结合工作实际，制定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第二条【适用范围】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细则适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用于规范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省信用平台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数据资源的归集共享工作。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第三条【业务界定】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本细则所称省信用平台数据资源，是指省信用平台归集、管理的本省社会信用信息，分为公共信用信息和非公共信用信息。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公共信用信息是指国家机关以及法律、法规授权的具有管理公共事务职能的组织等在依法履行职能、提供服务过程中产生或者获取的社会信用信息。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非公共信用信息是指信用服务机构、行业协会、商会、其他企事业单位和组织等在生产经营、提供服务过程中产生或获取的社会信用信息，以及信用主体以声明、自主申报、社会承诺等形式提供的自身信用信息。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第四条【遵循原则】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省信用平台数据资源归集共享遵循以下原则：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依法归集。依据《四川省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社会信用条例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》，省信用平台按照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《全国公共信用信息基础目录》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《四川省省级公共信用信息细目》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（以下简称《细目》）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及相关标准规范要求，及时、准确、完整地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归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集全省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一数一源。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建立唯一数据源，相同数据不重复采集。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</w:rPr>
        <w:t>不同部门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</w:rPr>
        <w:t>产生的相关数据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lang w:val="en-US" w:eastAsia="zh-CN"/>
        </w:rPr>
        <w:t>出现不一致的，由省信用平台会同数源单位进行核查。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（三）需求导向。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以共享为原则，不共享为例外。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国家机关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、公共服务组织、企事业单位因履行职责、提供信用服务、开发信用产品等需要使用信用信息的，分别按相关规定提出申请。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合法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使用。省信用平台数据资源的提供方和使用方在数据归集共享活动中，应当遵循正当、必要、安全原则，不得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害国家主权、安全和发展利益，不得侵犯公共安全和公共利益，不得泄露国家秘密、商业秘密和个人隐私。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第五条【归集共享标准】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公共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信用信息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实行统一的目录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化管理，省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发展改革委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会同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省大数据中心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依据《国家公共信用信息基础目录》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制定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《细目》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，明确公共信用信息的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具体行为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、数据字段、信息类别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公开属性、归集来源和渠道、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更新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频次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、共享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类型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等内容。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各地各部门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（单位）应当按照《细目》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公共信用信息纳入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归集共享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范围，依法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采集、归集、存储、共享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各类信用信息。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公共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信用信息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应参照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《细目》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由省信用平台与非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公共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信用信息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提供部门（单位）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共同确定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数据字段、信息类别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公开属性、归集来源和渠道、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共享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类型和范围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、更新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频次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第二章 工作体系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第六条【工作体系组成单位】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省信用平台数据资源归集共享工作体系由省发展改革委、省大数据中心、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提供部门（单位）和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使用部门（单位）共同组成。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第七条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省发展改革委负责省信用平台数据资源归集共享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组织协调、监督指导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考评工作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统筹协调各地各部门（单位）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信用数据归集共享。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大数据中心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信用平台的建设、运行和维护，开展信用信息归集、公开、查询、应用、服务及相关工作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实现与全国信用信息共享平台联通对接，并与国家企业信用信息公示系统、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一体化政务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平台等互联互通、信息共享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负责对省信用平台数据加工使用的安全性、合规性进行管理，配合数据管理部门开展公共数据资源目录编制和登记工作，推动省信用平台数据资源标准化、规范化建设；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负责统一受理各地各部门（单位）的信用信息使用申请，对申请资源的合理性、必要性、规范性进行审核。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第九条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提供部门（单位）是指在履行职责、提供服务或在生产经营活动中产生、采集、获取信用信息的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机关、企事业单位、信用服务机构等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法人和非法人组织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提供部门（单位）分为公共信用信息提供部门（单位）和非公共信用信息提供部门（单位）。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提供部门（单位）以库表、文件、接口等方式提供信用信息数据资源。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第十条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使用部门（单位）是指需要使用省信用平台数据资源的各地各部门（单位）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数据授权运营机构、信用服务机构等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使用部门（单位）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规定，提出资源使用申请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依法依规获取和使用数据资源。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章 数据归集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第十一条【归集对象】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信用信息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归集应当以电子化方式采集、归集、存储数据，将数据进行结构化处理，通过数据库存储、管理。非电子化数据应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按照相关技术标准进行电子化改造。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bidi="en-US"/>
        </w:rPr>
      </w:pPr>
      <w:r>
        <w:rPr>
          <w:rFonts w:hint="eastAsia" w:ascii="黑体" w:hAnsi="黑体" w:eastAsia="黑体" w:cs="黑体"/>
          <w:color w:val="auto"/>
          <w:w w:val="100"/>
          <w:kern w:val="2"/>
          <w:sz w:val="32"/>
          <w:szCs w:val="32"/>
          <w:lang w:val="en-US" w:eastAsia="zh-CN" w:bidi="en-US"/>
        </w:rPr>
        <w:t>第十二条【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/>
        </w:rPr>
        <w:t>公共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bidi="ar-SA"/>
        </w:rPr>
        <w:t>信用信息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归集要求</w:t>
      </w:r>
      <w:r>
        <w:rPr>
          <w:rFonts w:hint="eastAsia" w:ascii="黑体" w:hAnsi="黑体" w:eastAsia="黑体" w:cs="黑体"/>
          <w:color w:val="auto"/>
          <w:w w:val="100"/>
          <w:kern w:val="2"/>
          <w:sz w:val="32"/>
          <w:szCs w:val="32"/>
          <w:lang w:val="en-US" w:eastAsia="zh-CN" w:bidi="en-US"/>
        </w:rPr>
        <w:t>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公共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信用信息提供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部门（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应当按照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《细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》《四川省公共信用信息归集规范》（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en-US"/>
        </w:rPr>
        <w:t>DB51/T 3124-2023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要求采集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、传输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公共信用信息，及时、准确、完整地归集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信用平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台，并对所提供信用信息的合法性、真实性、准确性、完整性负责。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bidi="en-US"/>
        </w:rPr>
      </w:pPr>
      <w:r>
        <w:rPr>
          <w:rFonts w:hint="eastAsia" w:ascii="黑体" w:hAnsi="黑体" w:eastAsia="黑体" w:cs="黑体"/>
          <w:color w:val="auto"/>
          <w:w w:val="100"/>
          <w:kern w:val="2"/>
          <w:sz w:val="32"/>
          <w:szCs w:val="32"/>
          <w:lang w:val="en-US" w:eastAsia="zh-CN" w:bidi="en-US"/>
        </w:rPr>
        <w:t>第十三条【非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/>
        </w:rPr>
        <w:t>公共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bidi="ar-SA"/>
        </w:rPr>
        <w:t>信用信息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归集要求</w:t>
      </w:r>
      <w:r>
        <w:rPr>
          <w:rFonts w:hint="eastAsia" w:ascii="黑体" w:hAnsi="黑体" w:eastAsia="黑体" w:cs="黑体"/>
          <w:color w:val="auto"/>
          <w:w w:val="100"/>
          <w:kern w:val="2"/>
          <w:sz w:val="32"/>
          <w:szCs w:val="32"/>
          <w:lang w:val="en-US" w:eastAsia="zh-CN" w:bidi="en-US"/>
        </w:rPr>
        <w:t>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非公共信用信息提供部门（单位）应当按照真实、客观、全面的原则，依法采集自身生产经营、提供服务过程中产生或者获取的非公共信用信息，建立信用档案。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spacing w:val="0"/>
          <w:w w:val="100"/>
          <w:sz w:val="32"/>
          <w:szCs w:val="32"/>
          <w:u w:val="none"/>
          <w:vertAlign w:val="baseline"/>
          <w:lang w:val="en-US" w:bidi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鼓励非公共信用信息提供单位，按照约定向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信用平台提供非公共信用信息，并对所提供的信用信息合法性、真实性、准确性、完整性负责。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第十四条【归集渠道】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提供部门（单位）应当通过下列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渠道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，向省信用平台归集信用信息：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（一）原则上通过省政务信息资源共享平台向省信用平台归集数据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特定数据有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归集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时效性要求的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，可通过省信用平台专项数据征集系统报送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（三）其他特殊情况可由省大数据中心和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在保证数据安全前提下，商定归集渠道。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/>
        </w:rPr>
        <w:t>第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/>
        </w:rPr>
        <w:t>章 数据共享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第十五条【共享类型】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省信用平台数据资源按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细目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共享类型分为无条件共享、有条件共享、不予共享三种类型。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第十六条【省信用平台向国家共享的要求】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省信用平台按照国家相关要求，向全国信用信息共享平台报送、共享数据。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第十七条【省信用平台面向社会公众提供信息服务渠道】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省信用平台通过信用门户网站、移动客户端、查询窗口等渠道，以依法公开、依职权查询、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实名认证查询、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授权查询等方式提供信用信息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查询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en-US"/>
        </w:rPr>
        <w:t>第十八条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【省信用平台提供数据共享服务的渠道】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省信用平台按照《细目》界定范围，定期梳理信用信息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资源情况，以库表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文件、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接口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等方式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，通过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省政务信息资源共享平台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省信用平台网站“信用服务超市”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提供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数据资源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共享服务。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省信用平台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按照国家相关政策文件要求，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在确保数据安全前提下，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通过联合建模、隐私计算等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“数据不出域”的方式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开展信用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开发应用，拓展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信用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+”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en-US"/>
        </w:rPr>
        <w:t>第十九条【申请共享数据的要求】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使用部门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申请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共享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无条件共享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类数据的，提出申请后可直接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开展数据共享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申请共享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有条件共享类数据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《四川省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信用信息平台数据资源使用申请表》《四川省社会信用信息平台数据资源使用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承诺书》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上述材料均应加盖公章，线上申请的提供对应扫描件）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省大数据中心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对相关数据申请的合理性、必要性、规范性进行审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，将申请资料及审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意见提交数据提供部门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审核，同意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  <w:t>后开展数据共享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en-US"/>
        </w:rPr>
        <w:t>第二十条【申请受理流程】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省大数据中心原则上统一在线开展信用信息资源申请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受理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、授权和答复。对于明确需要提交纸质申请材料的，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线下提交纸质材料。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省大数据中心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应在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个工作日内完成申请材料的规范性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，并回复受理意见。不予受理的，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应说明具体原因。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第二十一条【分歧解决途径】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共享类型、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共享条件、申请理由、授权结果等存在意见分歧的，由省大数据中心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协调数据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使用部门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解决，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无法协商一致的，提请省发展改革委协调解决。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strike w:val="0"/>
          <w:dstrike w:val="0"/>
          <w:color w:val="auto"/>
          <w:spacing w:val="0"/>
          <w:w w:val="100"/>
          <w:sz w:val="32"/>
          <w:szCs w:val="32"/>
          <w:u w:val="none"/>
          <w:vertAlign w:val="baseline"/>
        </w:rPr>
      </w:pPr>
      <w:r>
        <w:rPr>
          <w:rFonts w:hint="eastAsia" w:ascii="黑体" w:hAnsi="黑体" w:eastAsia="黑体" w:cs="黑体"/>
          <w:b w:val="0"/>
          <w:i w:val="0"/>
          <w:strike w:val="0"/>
          <w:dstrike w:val="0"/>
          <w:color w:val="auto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第二十二条【错误数据处理】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数据使用部门（单位）对获取的信用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资源有疑义或发现有明显错误的，应及时反馈省大数据中心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省大数据中心衔接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疑义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数据进行校核，数据确实有误的予以更正。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第五章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数据安全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第二十三条【数据安全总体原则】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省大数据中心、数据提供部门（单位）、数据使用部门（单位）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严格遵照国省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相关法律法规，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按照“谁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、谁负责”的原则，加强信用信息全过程安全管理。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第二十四条【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数据安全职责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省大数据中心、数据提供部门（单位）、数据使用部门（单位）应依照法律、法规的规定，建立健全全流程数据安全管理制度，设置数据安全管理岗位，组织开展数据安全教育培训，制定数据安全应急预案，加强数据安全日常管理和风险监测，按照数据分类分级保护要求部署多层次、全方位的安全防护措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包括但不限于防火墙、入侵检测系统、数据加密技术、身份认证与访问控制机制、恶意代码防范系统以及数据备份与恢复机制等。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定期对其信息系统进行安全评估与维护升级，对数据安全风险进行识别、评估和控制，不断完善安全防控体系。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开展数据分类分级，根据分类分级结果，按照密码应用安全性评估的要求，部署密码应用技术措施，确保数据在传输、存储、使用等过程中的完整性、机密性、可用性和抗抵赖性，严防数据遭受未授权访问、泄露、篡改或破坏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建立完整的信用信息共享日志记录与追溯机制，确保在数据资源的采集、共享、查询、比对、下载、访问、更新等各个操作环节均有详细的日志记录。须确保日志记录的不可篡改性，保留时间不少于2年。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第二十五条【数据安全协议】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省大数据中心与数据使用部门（单位）之间应签署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数据安全协议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，明确各方在数据安全方面的权利、责任和义务。第三方技术服务公司参与数据归集共享的，须与授权单位签订安全协议，落实安全责任。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第二十六条【数据安全承诺】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数据使用部门（单位）在获取和使用信用信息数据前，须签订《数据安全承诺书》，明确数据使用范围、数据主体责任等事项。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章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第二十七条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省大数据中心负责解释。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第二十八条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自印发之日起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行。</w:t>
      </w:r>
    </w:p>
    <w:p>
      <w:pPr>
        <w:keepNext w:val="0"/>
        <w:keepLine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pStyle w:val="8"/>
        <w:keepNext w:val="0"/>
        <w:keepLine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四川省社会信用信息平台</w:t>
      </w:r>
    </w:p>
    <w:p>
      <w:pPr>
        <w:pStyle w:val="8"/>
        <w:keepNext w:val="0"/>
        <w:keepLine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数据资源使用申请表</w:t>
      </w:r>
    </w:p>
    <w:tbl>
      <w:tblPr>
        <w:tblStyle w:val="6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156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 xml:space="preserve">申请单位全称：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申请单位联系人：</w:t>
            </w:r>
          </w:p>
        </w:tc>
        <w:tc>
          <w:tcPr>
            <w:tcW w:w="4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0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申请事由（包含使用范围和应用场景）：</w:t>
            </w: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申请使用数据资源名称</w:t>
            </w:r>
          </w:p>
        </w:tc>
        <w:tc>
          <w:tcPr>
            <w:tcW w:w="743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4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使用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资源的业务系统名称：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74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申请单位意见</w:t>
            </w:r>
          </w:p>
        </w:tc>
        <w:tc>
          <w:tcPr>
            <w:tcW w:w="7431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单位负责人签字（盖章）：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74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审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43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 xml:space="preserve">单位负责人签字（盖章）：      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74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数据提供单位意见</w:t>
            </w:r>
          </w:p>
        </w:tc>
        <w:tc>
          <w:tcPr>
            <w:tcW w:w="7431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 xml:space="preserve">单位负责人签字（盖章）：     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 xml:space="preserve">      年  月  日</w:t>
            </w:r>
          </w:p>
        </w:tc>
      </w:tr>
    </w:tbl>
    <w:p>
      <w:pPr>
        <w:keepNext w:val="0"/>
        <w:keepLines w:val="0"/>
        <w:pageBreakBefore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数据安全协议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范本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本数据安全协议（以下简称“协议”）由四川省大数据中心与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（数据使用部门）共同签订，旨在明确双方在社会信用信息数据归集、共享、应用以及存储过程中的安全责任与义务，确保数据的安全性、保密性和合规性。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一、总体原则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t>双方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应遵守《中华人民共和国网络安全法》《中华人民共和国数据安全法》《中华人民共和国个人信息保护法》《四川省数据条例》《四川省社会信用条例》等法律法规以及《四川省政务信息资源共享管理实施细则（暂行）》《四川省社会信用信息平台数据资源归集共享实施细则（暂行）》等管理规定要求，合法合规开展社会信用信息的归集共享应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（二）双方按照“谁经手、谁使用，谁管理、谁负责”的原则，明确数据安全责任与义务边界。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（三）双方按照《四川省省级公共信用信息细目》明确的公共信用信息具体行为、公开属性、共享范围、归集来源和渠道、更新频次等内容，开展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信用信息的归集共享应用。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en-US"/>
        </w:rPr>
        <w:t>二、数据安全责任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（四）数据使用部门应采取合理的物理、技术和管理安全措施，保护数据免遭未经授权的访问、公开披露、使用、修改、损坏或丢失。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（五）安全措施包括但不限于加密技术、访问控制机制、数据备份与恢复计划、安全审计及员工培训等。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en-US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数据使用与目的限制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（六）数据使用部门仅能将接收到的数据用于《四川省社会信用信息平台数据资源使用申请表》明确协商的用途，不得用于其他任何目的。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（七）数据使用部门应对其在履行本协议过程中获取的数据承担保密义务，不得泄露给第三方。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en-US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数据质量管理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（八）数据使用部门在发现数据错误或异常时，应及时将相关情况反馈省大数据中心。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（九）省大数据中心应及时衔接数据提供部门，对疑义数据进行校核，数据确实有误的予以更正。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en-US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监督检查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（十）省大数据中心有权对数据使用部门的数据处理活动进行监督和检查，数据使用部门应配合提供必要的协助和信息。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（十一）省大数据中心发现数据使用部门存在数据处理不当、违反法律法规或本协议约定的行为，有权要求数据使用部门改正，并可停止数据共享。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en-US"/>
        </w:rPr>
        <w:t>六、</w:t>
      </w: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应急响应与事故处理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（十二）数据使用部门在数据归集、共享、应用以及存储过程中若发生数据泄露、失窃等情况时，应立即采取措施控制事态发展，并在发现之时起1小时内通知省大数据中心。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（十三）双方应共同配合，迅速调查事故原因，采取补救措施，并依据法律法规要求报告相关监管机构。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en-US"/>
        </w:rPr>
        <w:t>七、</w:t>
      </w:r>
      <w:r>
        <w:rPr>
          <w:rFonts w:hint="eastAsia" w:ascii="黑体" w:hAnsi="黑体" w:eastAsia="黑体" w:cs="黑体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协议变更与终止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（十四）本协议的任何修改或补充均须双方书面同意。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（十五）如一方严重违反协议规定，另一方有权单方面终止协议，并保留追究违约责任的权利。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数据使用部门（盖章）: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>签订日期：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四川省社会信用信息平台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数据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资源使用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本单位向四川省大数据中心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以下简称“省大数据中心”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申请四川省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社会信用信息平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台相关数据用于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本辖区</w:t>
      </w:r>
      <w:r>
        <w:rPr>
          <w:rFonts w:hint="default" w:ascii="Times New Roman" w:hAnsi="Times New Roman" w:eastAsia="仿宋_GB2312" w:cs="Times New Roman"/>
          <w:color w:val="7F7F7F" w:themeColor="background1" w:themeShade="8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7F7F7F" w:themeColor="background1" w:themeShade="80"/>
          <w:sz w:val="32"/>
          <w:szCs w:val="32"/>
          <w:u w:val="single"/>
          <w:lang w:val="en-US" w:eastAsia="zh-CN"/>
        </w:rPr>
        <w:t>数据用途</w:t>
      </w:r>
      <w:r>
        <w:rPr>
          <w:rFonts w:hint="default" w:ascii="Times New Roman" w:hAnsi="Times New Roman" w:eastAsia="仿宋_GB2312" w:cs="Times New Roman"/>
          <w:color w:val="7F7F7F" w:themeColor="background1" w:themeShade="8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。为充分保障数据安全，本单位郑重承诺如下。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国省法律法规和相关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要求，承诺对所获取的数据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在本辖区相关行政机构职权范围内使用或本级政府授权企业使用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原因致使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数据泄密，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相应的法律责任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由本单位承担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制度，明确责任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单位及责任人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。制定严格的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全力做好相关数据管理系统的建设运维、管理工作，确保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公众利益和公民隐私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不被侵犯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承诺及时与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参与数据归集共享的第三方技术服务公司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签订安全承诺书，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任何危害平台网络及数据安全的行为。一旦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泄密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，第一时间报告省大数据中心，并及时整改和采取相应的补救措施，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全力配合有关部门溯源相关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原始资料、线索和证据，积极协助调查工作。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本承诺函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双方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本承诺自盖章之日起生效，并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数据使用期间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负责人（签字）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承诺单位（盖章）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签署日期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：2024年 月 日</w:t>
      </w:r>
    </w:p>
    <w:sectPr>
      <w:footerReference r:id="rId5" w:type="default"/>
      <w:pgSz w:w="11906" w:h="16838"/>
      <w:pgMar w:top="1984" w:right="1474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A6013"/>
    <w:multiLevelType w:val="singleLevel"/>
    <w:tmpl w:val="A7EA60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mViNGJkYWMxMDg0NzlkY2Q2NWFjY2U3YmJmMDkifQ=="/>
  </w:docVars>
  <w:rsids>
    <w:rsidRoot w:val="30D72EFE"/>
    <w:rsid w:val="00303F39"/>
    <w:rsid w:val="004672B9"/>
    <w:rsid w:val="010F3B4F"/>
    <w:rsid w:val="016025FC"/>
    <w:rsid w:val="01B110AA"/>
    <w:rsid w:val="01BA61B0"/>
    <w:rsid w:val="01BE7323"/>
    <w:rsid w:val="02274EC8"/>
    <w:rsid w:val="026305F6"/>
    <w:rsid w:val="02B20C36"/>
    <w:rsid w:val="02D36DFE"/>
    <w:rsid w:val="02F56D74"/>
    <w:rsid w:val="02FF7BF3"/>
    <w:rsid w:val="03343D40"/>
    <w:rsid w:val="03767EB5"/>
    <w:rsid w:val="03E5503B"/>
    <w:rsid w:val="047D5273"/>
    <w:rsid w:val="04F026C1"/>
    <w:rsid w:val="050B6D23"/>
    <w:rsid w:val="052878D5"/>
    <w:rsid w:val="055F2BCB"/>
    <w:rsid w:val="05B9677F"/>
    <w:rsid w:val="05EE467B"/>
    <w:rsid w:val="05EF3F4F"/>
    <w:rsid w:val="06823015"/>
    <w:rsid w:val="07414C7E"/>
    <w:rsid w:val="07866B35"/>
    <w:rsid w:val="07FA4233"/>
    <w:rsid w:val="08AF5C17"/>
    <w:rsid w:val="091D7025"/>
    <w:rsid w:val="0949606C"/>
    <w:rsid w:val="09860F8E"/>
    <w:rsid w:val="09B2776D"/>
    <w:rsid w:val="0A7E1D45"/>
    <w:rsid w:val="0AD35BED"/>
    <w:rsid w:val="0ADF0A36"/>
    <w:rsid w:val="0B7B6B50"/>
    <w:rsid w:val="0BC52A31"/>
    <w:rsid w:val="0BCD4D32"/>
    <w:rsid w:val="0C0A7D34"/>
    <w:rsid w:val="0C0B13B7"/>
    <w:rsid w:val="0CB35CD6"/>
    <w:rsid w:val="0D3B3F1D"/>
    <w:rsid w:val="0DB55A7E"/>
    <w:rsid w:val="0E8D69FB"/>
    <w:rsid w:val="0EA7186A"/>
    <w:rsid w:val="0EF600FC"/>
    <w:rsid w:val="0F625791"/>
    <w:rsid w:val="0F81030D"/>
    <w:rsid w:val="0F824086"/>
    <w:rsid w:val="0F9C5147"/>
    <w:rsid w:val="10771710"/>
    <w:rsid w:val="10C93342"/>
    <w:rsid w:val="11140D0D"/>
    <w:rsid w:val="11335637"/>
    <w:rsid w:val="124B58A7"/>
    <w:rsid w:val="12525F91"/>
    <w:rsid w:val="12D70B99"/>
    <w:rsid w:val="12EC0194"/>
    <w:rsid w:val="13294F44"/>
    <w:rsid w:val="134578A4"/>
    <w:rsid w:val="138F12B4"/>
    <w:rsid w:val="13D529D6"/>
    <w:rsid w:val="13DB3D64"/>
    <w:rsid w:val="150A2B53"/>
    <w:rsid w:val="1594066F"/>
    <w:rsid w:val="159863B1"/>
    <w:rsid w:val="15B036FB"/>
    <w:rsid w:val="15F335E7"/>
    <w:rsid w:val="161812A0"/>
    <w:rsid w:val="166B5873"/>
    <w:rsid w:val="171001C9"/>
    <w:rsid w:val="17485BB5"/>
    <w:rsid w:val="17B40B54"/>
    <w:rsid w:val="17B86896"/>
    <w:rsid w:val="17F84EE5"/>
    <w:rsid w:val="189A5F9C"/>
    <w:rsid w:val="18B03513"/>
    <w:rsid w:val="18F4580E"/>
    <w:rsid w:val="19185113"/>
    <w:rsid w:val="19C37774"/>
    <w:rsid w:val="1A1324AA"/>
    <w:rsid w:val="1A1A55E6"/>
    <w:rsid w:val="1A312930"/>
    <w:rsid w:val="1A433242"/>
    <w:rsid w:val="1A646862"/>
    <w:rsid w:val="1B03607B"/>
    <w:rsid w:val="1B544B28"/>
    <w:rsid w:val="1BFE6842"/>
    <w:rsid w:val="1C380004"/>
    <w:rsid w:val="1C9F6277"/>
    <w:rsid w:val="1CC75B39"/>
    <w:rsid w:val="1D37025D"/>
    <w:rsid w:val="1D384048"/>
    <w:rsid w:val="1DA63635"/>
    <w:rsid w:val="1F470500"/>
    <w:rsid w:val="1F6115C2"/>
    <w:rsid w:val="1FBE4C66"/>
    <w:rsid w:val="1FD955FC"/>
    <w:rsid w:val="20FD356C"/>
    <w:rsid w:val="216435EB"/>
    <w:rsid w:val="21D544E9"/>
    <w:rsid w:val="222675C1"/>
    <w:rsid w:val="223C6316"/>
    <w:rsid w:val="22433200"/>
    <w:rsid w:val="22631AF5"/>
    <w:rsid w:val="22B67E76"/>
    <w:rsid w:val="234E4553"/>
    <w:rsid w:val="239A32F4"/>
    <w:rsid w:val="244A6AC8"/>
    <w:rsid w:val="249E0343"/>
    <w:rsid w:val="254774AC"/>
    <w:rsid w:val="25583467"/>
    <w:rsid w:val="25C603D0"/>
    <w:rsid w:val="25D80104"/>
    <w:rsid w:val="26793695"/>
    <w:rsid w:val="269F0C21"/>
    <w:rsid w:val="26DB434F"/>
    <w:rsid w:val="27383550"/>
    <w:rsid w:val="27897907"/>
    <w:rsid w:val="27F001AA"/>
    <w:rsid w:val="280E2503"/>
    <w:rsid w:val="28500425"/>
    <w:rsid w:val="28996270"/>
    <w:rsid w:val="28B9246E"/>
    <w:rsid w:val="28F72F97"/>
    <w:rsid w:val="292A6EC8"/>
    <w:rsid w:val="295D104C"/>
    <w:rsid w:val="29C72969"/>
    <w:rsid w:val="29C918AF"/>
    <w:rsid w:val="2A2C6C70"/>
    <w:rsid w:val="2A6B7798"/>
    <w:rsid w:val="2AF91248"/>
    <w:rsid w:val="2B3B360F"/>
    <w:rsid w:val="2B41674B"/>
    <w:rsid w:val="2BB533C1"/>
    <w:rsid w:val="2BE772F2"/>
    <w:rsid w:val="2C02237E"/>
    <w:rsid w:val="2C2B5431"/>
    <w:rsid w:val="2C4209CD"/>
    <w:rsid w:val="2C9805ED"/>
    <w:rsid w:val="2D340315"/>
    <w:rsid w:val="2E0C2639"/>
    <w:rsid w:val="2E5073D1"/>
    <w:rsid w:val="2E532A1D"/>
    <w:rsid w:val="2ECD27D0"/>
    <w:rsid w:val="2F146650"/>
    <w:rsid w:val="2FDE0E3B"/>
    <w:rsid w:val="30717AD3"/>
    <w:rsid w:val="30D72EFE"/>
    <w:rsid w:val="31140B8A"/>
    <w:rsid w:val="31F369F1"/>
    <w:rsid w:val="320A7897"/>
    <w:rsid w:val="32696CB3"/>
    <w:rsid w:val="32B37F2E"/>
    <w:rsid w:val="32C30B4D"/>
    <w:rsid w:val="32F56799"/>
    <w:rsid w:val="331704BD"/>
    <w:rsid w:val="335F2E57"/>
    <w:rsid w:val="338673F1"/>
    <w:rsid w:val="33995376"/>
    <w:rsid w:val="33C148CD"/>
    <w:rsid w:val="33C15360"/>
    <w:rsid w:val="33C85C5B"/>
    <w:rsid w:val="343E1A7A"/>
    <w:rsid w:val="346E6803"/>
    <w:rsid w:val="34BF0E0C"/>
    <w:rsid w:val="35004F81"/>
    <w:rsid w:val="351C625F"/>
    <w:rsid w:val="357C0AAC"/>
    <w:rsid w:val="366C6F02"/>
    <w:rsid w:val="372C4753"/>
    <w:rsid w:val="376143FD"/>
    <w:rsid w:val="37623CD1"/>
    <w:rsid w:val="379323FA"/>
    <w:rsid w:val="37FA03AE"/>
    <w:rsid w:val="38454AF6"/>
    <w:rsid w:val="38514471"/>
    <w:rsid w:val="385201EA"/>
    <w:rsid w:val="38E30E42"/>
    <w:rsid w:val="393F251C"/>
    <w:rsid w:val="39CB0253"/>
    <w:rsid w:val="3A0379ED"/>
    <w:rsid w:val="3A557B1D"/>
    <w:rsid w:val="3A5F274A"/>
    <w:rsid w:val="3ABC7B9C"/>
    <w:rsid w:val="3B0E664A"/>
    <w:rsid w:val="3D734E8A"/>
    <w:rsid w:val="3E4D56DB"/>
    <w:rsid w:val="3E95498C"/>
    <w:rsid w:val="409C46F8"/>
    <w:rsid w:val="40B05AAD"/>
    <w:rsid w:val="40BB2DD0"/>
    <w:rsid w:val="40BE641C"/>
    <w:rsid w:val="412F45D0"/>
    <w:rsid w:val="41654AEA"/>
    <w:rsid w:val="418705C4"/>
    <w:rsid w:val="418F1B67"/>
    <w:rsid w:val="41F8582A"/>
    <w:rsid w:val="421E3EC7"/>
    <w:rsid w:val="425C413F"/>
    <w:rsid w:val="42D4476C"/>
    <w:rsid w:val="43F44339"/>
    <w:rsid w:val="440920A4"/>
    <w:rsid w:val="446C2633"/>
    <w:rsid w:val="44CE6E4A"/>
    <w:rsid w:val="44DF2E05"/>
    <w:rsid w:val="45C06792"/>
    <w:rsid w:val="46F30DEA"/>
    <w:rsid w:val="47633879"/>
    <w:rsid w:val="47A04ACD"/>
    <w:rsid w:val="47D22071"/>
    <w:rsid w:val="47E56984"/>
    <w:rsid w:val="48757D08"/>
    <w:rsid w:val="48AA4BE7"/>
    <w:rsid w:val="49A81A17"/>
    <w:rsid w:val="49B22896"/>
    <w:rsid w:val="49C03205"/>
    <w:rsid w:val="4A3C6604"/>
    <w:rsid w:val="4A3E412A"/>
    <w:rsid w:val="4A413C1A"/>
    <w:rsid w:val="4A954692"/>
    <w:rsid w:val="4AD23409"/>
    <w:rsid w:val="4AEC002A"/>
    <w:rsid w:val="4B241572"/>
    <w:rsid w:val="4B95246F"/>
    <w:rsid w:val="4BD20FCE"/>
    <w:rsid w:val="4C07336D"/>
    <w:rsid w:val="4C1A4723"/>
    <w:rsid w:val="4C2A2BB8"/>
    <w:rsid w:val="4D057181"/>
    <w:rsid w:val="4D673998"/>
    <w:rsid w:val="4D9E1AAF"/>
    <w:rsid w:val="4DAB5102"/>
    <w:rsid w:val="4DB0533F"/>
    <w:rsid w:val="4F4B17C3"/>
    <w:rsid w:val="4FD32E26"/>
    <w:rsid w:val="503C55AF"/>
    <w:rsid w:val="508C2093"/>
    <w:rsid w:val="50A62A29"/>
    <w:rsid w:val="51121E6C"/>
    <w:rsid w:val="514E10F6"/>
    <w:rsid w:val="516E79EA"/>
    <w:rsid w:val="519F589C"/>
    <w:rsid w:val="522B58DB"/>
    <w:rsid w:val="52862B12"/>
    <w:rsid w:val="52D95337"/>
    <w:rsid w:val="52F774A8"/>
    <w:rsid w:val="534466C6"/>
    <w:rsid w:val="53DD0E57"/>
    <w:rsid w:val="54120B01"/>
    <w:rsid w:val="541419F8"/>
    <w:rsid w:val="541B4BEB"/>
    <w:rsid w:val="543842E0"/>
    <w:rsid w:val="549239F0"/>
    <w:rsid w:val="54D538DD"/>
    <w:rsid w:val="54F975CB"/>
    <w:rsid w:val="55747599"/>
    <w:rsid w:val="55807CEC"/>
    <w:rsid w:val="55A03EEB"/>
    <w:rsid w:val="55AE6607"/>
    <w:rsid w:val="56680EAC"/>
    <w:rsid w:val="56747786"/>
    <w:rsid w:val="57AF6B40"/>
    <w:rsid w:val="58C223CA"/>
    <w:rsid w:val="58C505AE"/>
    <w:rsid w:val="58D36385"/>
    <w:rsid w:val="58E80082"/>
    <w:rsid w:val="59126EAD"/>
    <w:rsid w:val="594C1A33"/>
    <w:rsid w:val="595474C6"/>
    <w:rsid w:val="59CA7788"/>
    <w:rsid w:val="5A5C0D28"/>
    <w:rsid w:val="5B1909C7"/>
    <w:rsid w:val="5B4D0671"/>
    <w:rsid w:val="5B575D5D"/>
    <w:rsid w:val="5B8C73EB"/>
    <w:rsid w:val="5C090A3C"/>
    <w:rsid w:val="5CE45005"/>
    <w:rsid w:val="5CEE5E83"/>
    <w:rsid w:val="5DAA3B58"/>
    <w:rsid w:val="5DAD189A"/>
    <w:rsid w:val="5E0A45F7"/>
    <w:rsid w:val="5EBD5B0D"/>
    <w:rsid w:val="5EF77271"/>
    <w:rsid w:val="5F08322C"/>
    <w:rsid w:val="5F440119"/>
    <w:rsid w:val="5FB94527"/>
    <w:rsid w:val="608A7C71"/>
    <w:rsid w:val="613D1187"/>
    <w:rsid w:val="615B4EE2"/>
    <w:rsid w:val="6166248C"/>
    <w:rsid w:val="61776447"/>
    <w:rsid w:val="61AF4555"/>
    <w:rsid w:val="621E4B15"/>
    <w:rsid w:val="62467B8C"/>
    <w:rsid w:val="624D0F56"/>
    <w:rsid w:val="625C73EB"/>
    <w:rsid w:val="627421F0"/>
    <w:rsid w:val="62EF025F"/>
    <w:rsid w:val="633F11E7"/>
    <w:rsid w:val="6356208C"/>
    <w:rsid w:val="63715118"/>
    <w:rsid w:val="63B05C41"/>
    <w:rsid w:val="63E1229E"/>
    <w:rsid w:val="64104931"/>
    <w:rsid w:val="64E02555"/>
    <w:rsid w:val="65827169"/>
    <w:rsid w:val="65B5337B"/>
    <w:rsid w:val="660109D5"/>
    <w:rsid w:val="662D17CA"/>
    <w:rsid w:val="66B617C0"/>
    <w:rsid w:val="66CF2882"/>
    <w:rsid w:val="673D0A11"/>
    <w:rsid w:val="673F7A07"/>
    <w:rsid w:val="67424E02"/>
    <w:rsid w:val="678A0557"/>
    <w:rsid w:val="67A4786A"/>
    <w:rsid w:val="68D93544"/>
    <w:rsid w:val="68F4037D"/>
    <w:rsid w:val="690D143F"/>
    <w:rsid w:val="6954706E"/>
    <w:rsid w:val="696C260A"/>
    <w:rsid w:val="69AF24F6"/>
    <w:rsid w:val="6A1707C7"/>
    <w:rsid w:val="6A2133F4"/>
    <w:rsid w:val="6A2151A2"/>
    <w:rsid w:val="6B596BBE"/>
    <w:rsid w:val="6BDF70C3"/>
    <w:rsid w:val="6C5C0714"/>
    <w:rsid w:val="6CCF5389"/>
    <w:rsid w:val="6CD72490"/>
    <w:rsid w:val="6CEB5F3B"/>
    <w:rsid w:val="6D464F20"/>
    <w:rsid w:val="6DEC3141"/>
    <w:rsid w:val="6EA463A2"/>
    <w:rsid w:val="6EBF31DC"/>
    <w:rsid w:val="6EE449F0"/>
    <w:rsid w:val="6EF13544"/>
    <w:rsid w:val="6F3F4ED2"/>
    <w:rsid w:val="701557A9"/>
    <w:rsid w:val="701D640C"/>
    <w:rsid w:val="709661BE"/>
    <w:rsid w:val="70C04FE9"/>
    <w:rsid w:val="70F76C5D"/>
    <w:rsid w:val="70FC24C5"/>
    <w:rsid w:val="71B763EC"/>
    <w:rsid w:val="72347A3D"/>
    <w:rsid w:val="729055BB"/>
    <w:rsid w:val="729E21F8"/>
    <w:rsid w:val="72C2329A"/>
    <w:rsid w:val="736305DA"/>
    <w:rsid w:val="73EC4A73"/>
    <w:rsid w:val="74277859"/>
    <w:rsid w:val="754D1541"/>
    <w:rsid w:val="75846F2D"/>
    <w:rsid w:val="75C5557C"/>
    <w:rsid w:val="75F61BD9"/>
    <w:rsid w:val="76530DD9"/>
    <w:rsid w:val="76780840"/>
    <w:rsid w:val="768C42EB"/>
    <w:rsid w:val="76CF5F86"/>
    <w:rsid w:val="76EC4D8A"/>
    <w:rsid w:val="77043E82"/>
    <w:rsid w:val="770E2F52"/>
    <w:rsid w:val="779A47E6"/>
    <w:rsid w:val="77DA2F6F"/>
    <w:rsid w:val="787B63C5"/>
    <w:rsid w:val="789B25C4"/>
    <w:rsid w:val="78A07BDA"/>
    <w:rsid w:val="78A13E89"/>
    <w:rsid w:val="78B43685"/>
    <w:rsid w:val="78F9553C"/>
    <w:rsid w:val="791763A6"/>
    <w:rsid w:val="79226841"/>
    <w:rsid w:val="797B41A3"/>
    <w:rsid w:val="798A7D16"/>
    <w:rsid w:val="79C21DD2"/>
    <w:rsid w:val="79CC49FF"/>
    <w:rsid w:val="7A3E76AA"/>
    <w:rsid w:val="7AE04C06"/>
    <w:rsid w:val="7B876E2F"/>
    <w:rsid w:val="7BB35E76"/>
    <w:rsid w:val="7BE73D72"/>
    <w:rsid w:val="7D782ED3"/>
    <w:rsid w:val="7D882BD7"/>
    <w:rsid w:val="7E0A321E"/>
    <w:rsid w:val="7E0B3D48"/>
    <w:rsid w:val="7E953F59"/>
    <w:rsid w:val="7ED34246"/>
    <w:rsid w:val="7EDE5895"/>
    <w:rsid w:val="7EE03426"/>
    <w:rsid w:val="7F3B065C"/>
    <w:rsid w:val="7F802513"/>
    <w:rsid w:val="7FAD9662"/>
    <w:rsid w:val="7FCC5758"/>
    <w:rsid w:val="AA5F9AD3"/>
    <w:rsid w:val="B93F8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宋体" w:hAnsi="宋体" w:eastAsia="仿宋" w:cs="Times New Roman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beforeAutospacing="0" w:after="12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2024-04-23T19:27:00Z</dcterms:created>
  <dc:creator>刘欣</dc:creator>
  <cp:lastModifiedBy>刘欣</cp:lastModifiedBy>
  <cp:lastPrinted>2024-06-04T07:59:15Z</cp:lastPrinted>
  <dcterms:modified xsi:type="dcterms:W3CDTF">2024-06-04T08:08:21Z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662DC20674BE4670AEE7F724B0F6A3DA_11</vt:lpwstr>
  </property>
</Properties>
</file>